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w:t>
      </w:r>
      <w:r w:rsidR="00A01728">
        <w:rPr>
          <w:sz w:val="20"/>
        </w:rPr>
        <w:t>ay of the month of …………………..2025,</w:t>
      </w:r>
      <w:r w:rsidRPr="00422DF5">
        <w:rPr>
          <w:sz w:val="20"/>
        </w:rPr>
        <w:t xml:space="preserve">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00BD6A28">
        <w:rPr>
          <w:sz w:val="20"/>
        </w:rPr>
        <w:t xml:space="preserve">            </w:t>
      </w:r>
      <w:r w:rsidRPr="00422DF5">
        <w:rPr>
          <w:sz w:val="20"/>
        </w:rPr>
        <w:t>Seal &amp; signature of the bidder</w:t>
      </w:r>
    </w:p>
    <w:p w:rsidR="00BD6A28" w:rsidRDefault="00BD6A28" w:rsidP="00276DEC">
      <w:pPr>
        <w:jc w:val="both"/>
        <w:rPr>
          <w:sz w:val="20"/>
        </w:rPr>
      </w:pPr>
    </w:p>
    <w:p w:rsidR="00BD6A28" w:rsidRDefault="00BD6A28" w:rsidP="00276DEC">
      <w:pPr>
        <w:jc w:val="both"/>
        <w:rPr>
          <w:sz w:val="20"/>
        </w:rPr>
      </w:pPr>
    </w:p>
    <w:p w:rsidR="00BD6A28" w:rsidRDefault="00BD6A28" w:rsidP="00276DEC">
      <w:pPr>
        <w:jc w:val="both"/>
        <w:rPr>
          <w:sz w:val="20"/>
        </w:rPr>
      </w:pPr>
    </w:p>
    <w:sectPr w:rsidR="00BD6A28"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1F5" w:rsidRDefault="005D11F5" w:rsidP="00E25545">
      <w:pPr>
        <w:spacing w:after="0" w:line="240" w:lineRule="auto"/>
      </w:pPr>
      <w:r>
        <w:separator/>
      </w:r>
    </w:p>
  </w:endnote>
  <w:endnote w:type="continuationSeparator" w:id="1">
    <w:p w:rsidR="005D11F5" w:rsidRDefault="005D11F5"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1F5" w:rsidRDefault="005D11F5" w:rsidP="00E25545">
      <w:pPr>
        <w:spacing w:after="0" w:line="240" w:lineRule="auto"/>
      </w:pPr>
      <w:r>
        <w:separator/>
      </w:r>
    </w:p>
  </w:footnote>
  <w:footnote w:type="continuationSeparator" w:id="1">
    <w:p w:rsidR="005D11F5" w:rsidRDefault="005D11F5"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041EAB"/>
    <w:rsid w:val="001C61DB"/>
    <w:rsid w:val="00267F37"/>
    <w:rsid w:val="00276DEC"/>
    <w:rsid w:val="0028761D"/>
    <w:rsid w:val="00422DF5"/>
    <w:rsid w:val="004C79F7"/>
    <w:rsid w:val="004D58E9"/>
    <w:rsid w:val="004D66BC"/>
    <w:rsid w:val="00553394"/>
    <w:rsid w:val="005D11F5"/>
    <w:rsid w:val="007F04E8"/>
    <w:rsid w:val="0098795F"/>
    <w:rsid w:val="009A378C"/>
    <w:rsid w:val="009D28A2"/>
    <w:rsid w:val="00A01728"/>
    <w:rsid w:val="00A237D0"/>
    <w:rsid w:val="00BD6A28"/>
    <w:rsid w:val="00CB0836"/>
    <w:rsid w:val="00CD74FD"/>
    <w:rsid w:val="00E25545"/>
    <w:rsid w:val="00F342FB"/>
    <w:rsid w:val="00F752DC"/>
    <w:rsid w:val="00FD170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np.pokhrail</cp:lastModifiedBy>
  <cp:revision>8</cp:revision>
  <cp:lastPrinted>2025-06-19T07:11:00Z</cp:lastPrinted>
  <dcterms:created xsi:type="dcterms:W3CDTF">2023-10-27T10:40:00Z</dcterms:created>
  <dcterms:modified xsi:type="dcterms:W3CDTF">2025-06-23T11:47:00Z</dcterms:modified>
</cp:coreProperties>
</file>