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F6" w:rsidRPr="00D671BA" w:rsidRDefault="00F501F6" w:rsidP="00F501F6">
      <w:pPr>
        <w:autoSpaceDE w:val="0"/>
        <w:autoSpaceDN w:val="0"/>
        <w:adjustRightInd w:val="0"/>
        <w:spacing w:after="0" w:line="240" w:lineRule="auto"/>
        <w:ind w:right="0"/>
        <w:jc w:val="right"/>
        <w:rPr>
          <w:rFonts w:eastAsia="Calibri"/>
          <w:b/>
          <w:bCs/>
          <w:color w:val="000000" w:themeColor="text1"/>
        </w:rPr>
      </w:pPr>
      <w:r w:rsidRPr="00D671BA">
        <w:rPr>
          <w:rFonts w:eastAsia="Calibri"/>
          <w:b/>
          <w:bCs/>
          <w:color w:val="000000" w:themeColor="text1"/>
        </w:rPr>
        <w:t xml:space="preserve">Annexure </w:t>
      </w:r>
      <w:sdt>
        <w:sdtPr>
          <w:rPr>
            <w:b/>
            <w:bCs/>
            <w:color w:val="000000" w:themeColor="text1"/>
          </w:rPr>
          <w:tag w:val="goog_rdk_746"/>
          <w:id w:val="29095485"/>
        </w:sdtPr>
        <w:sdtContent>
          <w:r w:rsidRPr="00D671BA">
            <w:rPr>
              <w:rFonts w:eastAsia="Calibri"/>
              <w:b/>
              <w:bCs/>
              <w:color w:val="000000" w:themeColor="text1"/>
            </w:rPr>
            <w:t>I B</w:t>
          </w:r>
        </w:sdtContent>
      </w:sdt>
      <w:sdt>
        <w:sdtPr>
          <w:rPr>
            <w:b/>
            <w:bCs/>
            <w:color w:val="000000" w:themeColor="text1"/>
          </w:rPr>
          <w:tag w:val="goog_rdk_747"/>
          <w:id w:val="29095486"/>
          <w:showingPlcHdr/>
        </w:sdtPr>
        <w:sdtContent/>
      </w:sdt>
    </w:p>
    <w:p w:rsidR="00F501F6" w:rsidRDefault="00F501F6" w:rsidP="00F501F6">
      <w:pPr>
        <w:autoSpaceDE w:val="0"/>
        <w:autoSpaceDN w:val="0"/>
        <w:adjustRightInd w:val="0"/>
        <w:spacing w:after="0" w:line="240" w:lineRule="auto"/>
        <w:ind w:right="0"/>
        <w:jc w:val="center"/>
        <w:rPr>
          <w:rFonts w:eastAsia="Calibri"/>
          <w:b/>
          <w:bCs/>
          <w:color w:val="000000" w:themeColor="text1"/>
          <w:u w:val="single"/>
        </w:rPr>
      </w:pPr>
      <w:r w:rsidRPr="00D671BA">
        <w:rPr>
          <w:rFonts w:eastAsia="Calibri"/>
          <w:b/>
          <w:bCs/>
          <w:color w:val="000000" w:themeColor="text1"/>
          <w:u w:val="single"/>
        </w:rPr>
        <w:t>Data pertaining to LICI as at 31.03.2020</w:t>
      </w:r>
    </w:p>
    <w:p w:rsidR="00F501F6" w:rsidRPr="00D671BA" w:rsidRDefault="00F501F6" w:rsidP="00F501F6">
      <w:pPr>
        <w:autoSpaceDE w:val="0"/>
        <w:autoSpaceDN w:val="0"/>
        <w:adjustRightInd w:val="0"/>
        <w:spacing w:after="0" w:line="240" w:lineRule="auto"/>
        <w:ind w:right="0"/>
        <w:jc w:val="both"/>
        <w:rPr>
          <w:bCs/>
          <w:color w:val="000000" w:themeColor="text1"/>
        </w:rPr>
      </w:pPr>
    </w:p>
    <w:tbl>
      <w:tblPr>
        <w:tblStyle w:val="Style40"/>
        <w:tblW w:w="9360" w:type="dxa"/>
        <w:tblInd w:w="93" w:type="dxa"/>
        <w:tblLayout w:type="fixed"/>
        <w:tblLook w:val="04A0"/>
      </w:tblPr>
      <w:tblGrid>
        <w:gridCol w:w="4680"/>
        <w:gridCol w:w="4680"/>
      </w:tblGrid>
      <w:tr w:rsidR="00F501F6" w:rsidRPr="00D671BA" w:rsidTr="006017A8">
        <w:trPr>
          <w:trHeight w:val="30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Number of Individual in-force polices as at  31st March 2020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tag w:val="goog_rdk_749"/>
                <w:id w:val="-1882647549"/>
                <w:showingPlcHdr/>
              </w:sdtPr>
              <w:sdtContent/>
            </w:sdt>
            <w:r w:rsidRPr="00D671BA">
              <w:rPr>
                <w:rFonts w:eastAsia="Calibri"/>
                <w:color w:val="000000" w:themeColor="text1"/>
              </w:rPr>
              <w:t>28.92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r w:rsidRPr="00D671BA">
              <w:rPr>
                <w:rFonts w:eastAsia="Calibri"/>
                <w:color w:val="000000" w:themeColor="text1"/>
              </w:rPr>
              <w:t>crores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Number of Individual products with in-force policies as at  31st March 2020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207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Number of Group schemes  as at 31st March 2020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1,65,045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Number of Group in force lives as at 31st March 2020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tag w:val="goog_rdk_752"/>
                <w:id w:val="-1882647547"/>
              </w:sdtPr>
              <w:sdtContent>
                <w:sdt>
                  <w:sdtPr>
                    <w:rPr>
                      <w:color w:val="000000" w:themeColor="text1"/>
                    </w:rPr>
                    <w:tag w:val="goog_rdk_751"/>
                    <w:id w:val="-1882647548"/>
                    <w:showingPlcHdr/>
                  </w:sdtPr>
                  <w:sdtContent/>
                </w:sdt>
                <w:r w:rsidRPr="00D671BA">
                  <w:rPr>
                    <w:rFonts w:eastAsia="Calibri"/>
                    <w:color w:val="000000" w:themeColor="text1"/>
                  </w:rPr>
                  <w:t>11.36 cr</w:t>
                </w:r>
              </w:sdtContent>
            </w:sdt>
            <w:r w:rsidRPr="00D671BA">
              <w:rPr>
                <w:color w:val="000000" w:themeColor="text1"/>
              </w:rPr>
              <w:t>ores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Number of Group products with in force policies as at 31st March 2020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32</w:t>
            </w:r>
          </w:p>
        </w:tc>
      </w:tr>
      <w:tr w:rsidR="00F501F6" w:rsidRPr="00D671BA" w:rsidTr="006017A8">
        <w:trPr>
          <w:trHeight w:val="6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Split of in-force reserves (INR Crores) as at  31st March 2020 in the following product categories: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participating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21,21,854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non-participating savings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3,843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non-participating Protection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10,729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annuities and pension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1,24,891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unit-linked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33,207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Life VIP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417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 xml:space="preserve">Non </w:t>
            </w:r>
            <w:proofErr w:type="spellStart"/>
            <w:r w:rsidRPr="00D671BA">
              <w:rPr>
                <w:rFonts w:eastAsia="Calibri"/>
                <w:color w:val="000000" w:themeColor="text1"/>
              </w:rPr>
              <w:t>LinkedHealth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1,097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Riders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2,001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Group term insurance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3,719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Group credit Life</w:t>
            </w:r>
          </w:p>
        </w:tc>
        <w:tc>
          <w:tcPr>
            <w:tcW w:w="4680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103</w:t>
            </w:r>
          </w:p>
        </w:tc>
      </w:tr>
      <w:tr w:rsidR="00F501F6" w:rsidRPr="00D671BA" w:rsidTr="006017A8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Group traditional and unit linked funds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6,79,777</w:t>
            </w:r>
          </w:p>
        </w:tc>
      </w:tr>
      <w:tr w:rsidR="00F501F6" w:rsidRPr="00D671BA" w:rsidTr="006017A8">
        <w:trPr>
          <w:trHeight w:val="495"/>
        </w:trPr>
        <w:tc>
          <w:tcPr>
            <w:tcW w:w="46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 xml:space="preserve">Group Rider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color w:val="000000" w:themeColor="text1"/>
              </w:rPr>
            </w:pPr>
            <w:r w:rsidRPr="00D671BA">
              <w:rPr>
                <w:color w:val="000000" w:themeColor="text1"/>
              </w:rPr>
              <w:t>9</w:t>
            </w:r>
          </w:p>
        </w:tc>
      </w:tr>
    </w:tbl>
    <w:p w:rsidR="00F501F6" w:rsidRDefault="00F501F6" w:rsidP="00F501F6">
      <w:pPr>
        <w:ind w:right="0"/>
        <w:rPr>
          <w:color w:val="000000" w:themeColor="text1"/>
        </w:rPr>
      </w:pPr>
    </w:p>
    <w:p w:rsidR="00F501F6" w:rsidRPr="00D671BA" w:rsidRDefault="00F501F6" w:rsidP="00F501F6">
      <w:pPr>
        <w:ind w:right="0"/>
        <w:rPr>
          <w:color w:val="000000" w:themeColor="text1"/>
        </w:rPr>
      </w:pPr>
    </w:p>
    <w:p w:rsidR="00F501F6" w:rsidRPr="00D671BA" w:rsidRDefault="00F501F6" w:rsidP="00F501F6">
      <w:pPr>
        <w:ind w:right="0"/>
        <w:rPr>
          <w:color w:val="000000" w:themeColor="text1"/>
        </w:rPr>
      </w:pPr>
    </w:p>
    <w:p w:rsidR="00F501F6" w:rsidRPr="00D671BA" w:rsidRDefault="00F501F6" w:rsidP="00F501F6">
      <w:pPr>
        <w:ind w:right="0"/>
        <w:rPr>
          <w:color w:val="000000" w:themeColor="text1"/>
        </w:rPr>
      </w:pPr>
      <w:sdt>
        <w:sdtPr>
          <w:rPr>
            <w:color w:val="000000" w:themeColor="text1"/>
          </w:rPr>
          <w:tag w:val="goog_rdk_763"/>
          <w:id w:val="-1882647538"/>
        </w:sdtPr>
        <w:sdtContent/>
      </w:sdt>
      <w:sdt>
        <w:sdtPr>
          <w:rPr>
            <w:color w:val="000000" w:themeColor="text1"/>
          </w:rPr>
          <w:tag w:val="goog_rdk_766"/>
          <w:id w:val="-1882647535"/>
        </w:sdtPr>
        <w:sdtContent>
          <w:sdt>
            <w:sdtPr>
              <w:rPr>
                <w:color w:val="000000" w:themeColor="text1"/>
              </w:rPr>
              <w:tag w:val="goog_rdk_765"/>
              <w:id w:val="-1882647536"/>
              <w:showingPlcHdr/>
            </w:sdtPr>
            <w:sdtContent/>
          </w:sdt>
        </w:sdtContent>
      </w:sdt>
    </w:p>
    <w:tbl>
      <w:tblPr>
        <w:tblStyle w:val="Style41"/>
        <w:tblW w:w="8938" w:type="dxa"/>
        <w:tblInd w:w="93" w:type="dxa"/>
        <w:tblLayout w:type="fixed"/>
        <w:tblLook w:val="04A0"/>
      </w:tblPr>
      <w:tblGrid>
        <w:gridCol w:w="7280"/>
        <w:gridCol w:w="1658"/>
      </w:tblGrid>
      <w:tr w:rsidR="00F501F6" w:rsidRPr="00D671BA" w:rsidTr="006017A8">
        <w:trPr>
          <w:trHeight w:val="600"/>
        </w:trPr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sdt>
            <w:sdtPr>
              <w:rPr>
                <w:color w:val="000000" w:themeColor="text1"/>
              </w:rPr>
              <w:tag w:val="goog_rdk_768"/>
              <w:id w:val="-1882647533"/>
            </w:sdtPr>
            <w:sdtContent>
              <w:p w:rsidR="00F501F6" w:rsidRPr="00D671BA" w:rsidRDefault="00F501F6" w:rsidP="006017A8">
                <w:pPr>
                  <w:ind w:right="0"/>
                  <w:rPr>
                    <w:rFonts w:eastAsia="Calibri"/>
                    <w:color w:val="000000" w:themeColor="text1"/>
                  </w:rPr>
                </w:pPr>
                <w:r w:rsidRPr="00D671BA">
                  <w:rPr>
                    <w:rFonts w:eastAsia="Calibri"/>
                    <w:color w:val="000000" w:themeColor="text1"/>
                  </w:rPr>
                  <w:t xml:space="preserve">Annualised premium for new business sold during the year ending </w:t>
                </w:r>
                <w:sdt>
                  <w:sdtPr>
                    <w:rPr>
                      <w:color w:val="000000" w:themeColor="text1"/>
                    </w:rPr>
                    <w:tag w:val="goog_rdk_767"/>
                    <w:id w:val="-1882647534"/>
                    <w:showingPlcHdr/>
                  </w:sdtPr>
                  <w:sdtContent/>
                </w:sdt>
              </w:p>
            </w:sdtContent>
          </w:sdt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31st March, 2020 in the following product categories: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(INR crores)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participating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32,692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non-participating savings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44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non-participating Protection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151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annuities and Pension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19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unit-linked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76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Life VIP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0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 xml:space="preserve">Non Linked Health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118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Individual Riders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743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Group term insurance*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3533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Group credit Life*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12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Group traditional and unit linked funds*</w:t>
            </w:r>
          </w:p>
        </w:tc>
        <w:tc>
          <w:tcPr>
            <w:tcW w:w="165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  <w:r w:rsidRPr="00D671BA">
              <w:rPr>
                <w:rFonts w:eastAsia="Calibri"/>
                <w:color w:val="000000" w:themeColor="text1"/>
              </w:rPr>
              <w:t>1,30,084</w:t>
            </w:r>
          </w:p>
        </w:tc>
      </w:tr>
      <w:tr w:rsidR="00F501F6" w:rsidRPr="00D671BA" w:rsidTr="006017A8">
        <w:trPr>
          <w:trHeight w:val="300"/>
        </w:trPr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rPr>
                <w:rFonts w:eastAsia="Calibri"/>
                <w:color w:val="000000" w:themeColor="text1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501F6" w:rsidRPr="00D671BA" w:rsidRDefault="00F501F6" w:rsidP="006017A8">
            <w:pPr>
              <w:ind w:right="0"/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:rsidR="00F501F6" w:rsidRPr="00D671BA" w:rsidRDefault="00F501F6" w:rsidP="00F501F6">
      <w:pPr>
        <w:rPr>
          <w:color w:val="000000" w:themeColor="text1"/>
        </w:rPr>
      </w:pPr>
      <w:sdt>
        <w:sdtPr>
          <w:rPr>
            <w:color w:val="000000" w:themeColor="text1"/>
          </w:rPr>
          <w:tag w:val="goog_rdk_771"/>
          <w:id w:val="-1882647531"/>
        </w:sdtPr>
        <w:sdtContent>
          <w:sdt>
            <w:sdtPr>
              <w:rPr>
                <w:color w:val="000000" w:themeColor="text1"/>
              </w:rPr>
              <w:tag w:val="goog_rdk_770"/>
              <w:id w:val="-1882647532"/>
            </w:sdtPr>
            <w:sdtContent>
              <w:r w:rsidRPr="00D671BA">
                <w:rPr>
                  <w:rFonts w:eastAsia="Trebuchet MS"/>
                  <w:color w:val="000000" w:themeColor="text1"/>
                </w:rPr>
                <w:t>.</w:t>
              </w:r>
            </w:sdtContent>
          </w:sdt>
        </w:sdtContent>
      </w:sdt>
      <w:r w:rsidRPr="00D671BA">
        <w:rPr>
          <w:b/>
          <w:bCs/>
          <w:color w:val="000000" w:themeColor="text1"/>
        </w:rPr>
        <w:t>*</w:t>
      </w:r>
      <w:r w:rsidRPr="00D671BA">
        <w:rPr>
          <w:color w:val="000000" w:themeColor="text1"/>
        </w:rPr>
        <w:t>Premium collected during FY 2019-20</w:t>
      </w:r>
    </w:p>
    <w:p w:rsidR="00F501F6" w:rsidRPr="00D671BA" w:rsidRDefault="00F501F6" w:rsidP="00F501F6">
      <w:pPr>
        <w:ind w:right="0"/>
        <w:rPr>
          <w:rFonts w:eastAsia="Trebuchet MS"/>
          <w:color w:val="000000" w:themeColor="text1"/>
        </w:rPr>
      </w:pPr>
      <w:r w:rsidRPr="00D671BA">
        <w:rPr>
          <w:rFonts w:eastAsia="Trebuchet MS"/>
          <w:color w:val="000000" w:themeColor="text1"/>
        </w:rPr>
        <w:t>Data given is indicative and may not be exact</w:t>
      </w:r>
    </w:p>
    <w:p w:rsidR="00F501F6" w:rsidRPr="00D671BA" w:rsidRDefault="00F501F6" w:rsidP="00F501F6">
      <w:pPr>
        <w:autoSpaceDE w:val="0"/>
        <w:autoSpaceDN w:val="0"/>
        <w:adjustRightInd w:val="0"/>
        <w:spacing w:after="0" w:line="240" w:lineRule="auto"/>
        <w:ind w:right="0"/>
        <w:jc w:val="both"/>
        <w:rPr>
          <w:bCs/>
          <w:color w:val="000000" w:themeColor="text1"/>
        </w:rPr>
      </w:pPr>
    </w:p>
    <w:p w:rsidR="00F501F6" w:rsidRPr="00D671BA" w:rsidRDefault="00F501F6" w:rsidP="00F501F6">
      <w:pPr>
        <w:autoSpaceDE w:val="0"/>
        <w:autoSpaceDN w:val="0"/>
        <w:adjustRightInd w:val="0"/>
        <w:spacing w:after="0" w:line="240" w:lineRule="auto"/>
        <w:ind w:right="0"/>
        <w:jc w:val="right"/>
        <w:rPr>
          <w:b/>
          <w:color w:val="000000" w:themeColor="text1"/>
        </w:rPr>
      </w:pPr>
    </w:p>
    <w:p w:rsidR="00F501F6" w:rsidRPr="00D671BA" w:rsidRDefault="00F501F6" w:rsidP="00F501F6">
      <w:pPr>
        <w:spacing w:after="160" w:line="259" w:lineRule="auto"/>
        <w:ind w:right="0"/>
        <w:rPr>
          <w:b/>
          <w:color w:val="000000" w:themeColor="text1"/>
        </w:rPr>
      </w:pPr>
    </w:p>
    <w:p w:rsidR="00FB09AA" w:rsidRDefault="00FB09AA"/>
    <w:sectPr w:rsidR="00FB09AA" w:rsidSect="00FB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characterSpacingControl w:val="doNotCompress"/>
  <w:compat/>
  <w:rsids>
    <w:rsidRoot w:val="00F501F6"/>
    <w:rsid w:val="006F3C14"/>
    <w:rsid w:val="00F501F6"/>
    <w:rsid w:val="00FB0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1F6"/>
    <w:pPr>
      <w:spacing w:after="200" w:line="276" w:lineRule="auto"/>
      <w:ind w:right="-323"/>
    </w:pPr>
    <w:rPr>
      <w:rFonts w:ascii="Arial" w:eastAsia="Arial" w:hAnsi="Arial" w:cs="Arial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40">
    <w:name w:val="_Style 40"/>
    <w:basedOn w:val="TableNormal"/>
    <w:qFormat/>
    <w:rsid w:val="00F501F6"/>
    <w:rPr>
      <w:rFonts w:ascii="Arial" w:eastAsia="Arial" w:hAnsi="Arial" w:cs="Arial"/>
      <w:sz w:val="20"/>
      <w:szCs w:val="20"/>
      <w:lang w:val="en-IN" w:eastAsia="en-IN" w:bidi="hi-IN"/>
    </w:rPr>
    <w:tblPr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41">
    <w:name w:val="_Style 41"/>
    <w:basedOn w:val="TableNormal"/>
    <w:qFormat/>
    <w:rsid w:val="00F501F6"/>
    <w:rPr>
      <w:rFonts w:ascii="Arial" w:eastAsia="Arial" w:hAnsi="Arial" w:cs="Arial"/>
      <w:sz w:val="20"/>
      <w:szCs w:val="20"/>
      <w:lang w:val="en-IN" w:eastAsia="en-IN" w:bidi="hi-IN"/>
    </w:rPr>
    <w:tblPr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01F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F6"/>
    <w:rPr>
      <w:rFonts w:ascii="Tahoma" w:eastAsia="Arial" w:hAnsi="Tahoma" w:cs="Mangal"/>
      <w:sz w:val="16"/>
      <w:szCs w:val="14"/>
      <w:lang w:val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1280</Characters>
  <Application>Microsoft Office Word</Application>
  <DocSecurity>0</DocSecurity>
  <Lines>30</Lines>
  <Paragraphs>13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</dc:creator>
  <cp:lastModifiedBy>lic</cp:lastModifiedBy>
  <cp:revision>1</cp:revision>
  <dcterms:created xsi:type="dcterms:W3CDTF">2020-11-27T10:11:00Z</dcterms:created>
  <dcterms:modified xsi:type="dcterms:W3CDTF">2020-11-27T10:11:00Z</dcterms:modified>
</cp:coreProperties>
</file>